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B10" w:rsidRPr="00DF1B10" w:rsidRDefault="001E5635" w:rsidP="00DF1B10">
      <w:pPr>
        <w:rPr>
          <w:rFonts w:ascii="Times New Roman" w:eastAsia="Times New Roman" w:hAnsi="Times New Roman" w:cs="Times New Roman"/>
          <w:b/>
          <w:color w:val="auto"/>
          <w:sz w:val="20"/>
          <w:szCs w:val="20"/>
        </w:rPr>
      </w:pPr>
      <w:bookmarkStart w:id="0" w:name="_GoBack"/>
      <w:bookmarkEnd w:id="0"/>
      <w:r w:rsidRPr="001E5635">
        <w:rPr>
          <w:rFonts w:ascii="Times New Roman" w:eastAsia="Times New Roman" w:hAnsi="Times New Roman" w:cs="Times New Roman"/>
          <w:b/>
          <w:color w:val="auto"/>
          <w:sz w:val="28"/>
          <w:szCs w:val="28"/>
        </w:rPr>
        <w:t xml:space="preserve">                       </w:t>
      </w:r>
      <w:r w:rsidR="00DF1B10" w:rsidRPr="00DF1B10">
        <w:rPr>
          <w:rFonts w:ascii="Times New Roman" w:eastAsia="Times New Roman" w:hAnsi="Times New Roman" w:cs="Times New Roman"/>
          <w:b/>
          <w:color w:val="auto"/>
          <w:sz w:val="20"/>
          <w:szCs w:val="20"/>
        </w:rPr>
        <w:t xml:space="preserve">         R  O  M  Â  N  I  A</w:t>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t xml:space="preserve">    </w:t>
      </w:r>
      <w:r w:rsidR="00DF1B10">
        <w:rPr>
          <w:rFonts w:ascii="Times New Roman" w:eastAsia="Times New Roman" w:hAnsi="Times New Roman" w:cs="Times New Roman"/>
          <w:b/>
          <w:color w:val="auto"/>
          <w:sz w:val="20"/>
          <w:szCs w:val="20"/>
        </w:rPr>
        <w:tab/>
        <w:t xml:space="preserve">          </w:t>
      </w:r>
      <w:r w:rsidR="00DF1B10" w:rsidRPr="00DF1B10">
        <w:rPr>
          <w:rFonts w:ascii="Times New Roman" w:eastAsia="Times New Roman" w:hAnsi="Times New Roman" w:cs="Times New Roman"/>
          <w:b/>
          <w:color w:val="auto"/>
          <w:sz w:val="20"/>
          <w:szCs w:val="20"/>
        </w:rPr>
        <w:t>NESECRET</w:t>
      </w:r>
    </w:p>
    <w:p w:rsidR="00DF1B10" w:rsidRPr="00DF1B10" w:rsidRDefault="00DF1B10" w:rsidP="00DF1B10">
      <w:pPr>
        <w:widowControl/>
        <w:jc w:val="center"/>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 xml:space="preserve">                  MINISTERUL AFACERILOR INTERNE </w:t>
      </w:r>
      <w:r>
        <w:rPr>
          <w:rFonts w:ascii="Times New Roman" w:eastAsia="Times New Roman" w:hAnsi="Times New Roman" w:cs="Times New Roman"/>
          <w:b/>
          <w:color w:val="auto"/>
          <w:sz w:val="20"/>
          <w:szCs w:val="20"/>
        </w:rPr>
        <w:tab/>
      </w:r>
      <w:r>
        <w:rPr>
          <w:rFonts w:ascii="Times New Roman" w:eastAsia="Times New Roman" w:hAnsi="Times New Roman" w:cs="Times New Roman"/>
          <w:b/>
          <w:color w:val="auto"/>
          <w:sz w:val="20"/>
          <w:szCs w:val="20"/>
        </w:rPr>
        <w:tab/>
      </w:r>
      <w:r>
        <w:rPr>
          <w:rFonts w:ascii="Times New Roman" w:eastAsia="Times New Roman" w:hAnsi="Times New Roman" w:cs="Times New Roman"/>
          <w:b/>
          <w:color w:val="auto"/>
          <w:sz w:val="20"/>
          <w:szCs w:val="20"/>
        </w:rPr>
        <w:tab/>
      </w:r>
      <w:r w:rsidRPr="00DF1B10">
        <w:rPr>
          <w:rFonts w:ascii="Times New Roman" w:eastAsia="Times New Roman" w:hAnsi="Times New Roman" w:cs="Times New Roman"/>
          <w:b/>
          <w:color w:val="auto"/>
          <w:sz w:val="20"/>
          <w:szCs w:val="20"/>
        </w:rPr>
        <w:t xml:space="preserve">      Nr. </w:t>
      </w:r>
      <w:r>
        <w:rPr>
          <w:rFonts w:ascii="Times New Roman" w:eastAsia="Times New Roman" w:hAnsi="Times New Roman" w:cs="Times New Roman"/>
          <w:b/>
          <w:color w:val="auto"/>
          <w:sz w:val="20"/>
          <w:szCs w:val="20"/>
        </w:rPr>
        <w:t>354093</w:t>
      </w:r>
      <w:r w:rsidRPr="00DF1B10">
        <w:rPr>
          <w:rFonts w:ascii="Times New Roman" w:eastAsia="Times New Roman" w:hAnsi="Times New Roman" w:cs="Times New Roman"/>
          <w:b/>
          <w:color w:val="auto"/>
          <w:sz w:val="20"/>
          <w:szCs w:val="20"/>
        </w:rPr>
        <w:t xml:space="preserve"> din </w:t>
      </w:r>
      <w:r>
        <w:rPr>
          <w:rFonts w:ascii="Times New Roman" w:eastAsia="Times New Roman" w:hAnsi="Times New Roman" w:cs="Times New Roman"/>
          <w:b/>
          <w:color w:val="auto"/>
          <w:sz w:val="20"/>
          <w:szCs w:val="20"/>
        </w:rPr>
        <w:t>14</w:t>
      </w:r>
      <w:r w:rsidRPr="00DF1B10">
        <w:rPr>
          <w:rFonts w:ascii="Times New Roman" w:eastAsia="Times New Roman" w:hAnsi="Times New Roman" w:cs="Times New Roman"/>
          <w:b/>
          <w:color w:val="auto"/>
          <w:sz w:val="20"/>
          <w:szCs w:val="20"/>
        </w:rPr>
        <w:t>.</w:t>
      </w:r>
      <w:r>
        <w:rPr>
          <w:rFonts w:ascii="Times New Roman" w:eastAsia="Times New Roman" w:hAnsi="Times New Roman" w:cs="Times New Roman"/>
          <w:b/>
          <w:color w:val="auto"/>
          <w:sz w:val="20"/>
          <w:szCs w:val="20"/>
        </w:rPr>
        <w:t>12</w:t>
      </w:r>
      <w:r w:rsidRPr="00DF1B10">
        <w:rPr>
          <w:rFonts w:ascii="Times New Roman" w:eastAsia="Times New Roman" w:hAnsi="Times New Roman" w:cs="Times New Roman"/>
          <w:b/>
          <w:color w:val="auto"/>
          <w:sz w:val="20"/>
          <w:szCs w:val="20"/>
        </w:rPr>
        <w:t>.201</w:t>
      </w:r>
      <w:r>
        <w:rPr>
          <w:rFonts w:ascii="Times New Roman" w:eastAsia="Times New Roman" w:hAnsi="Times New Roman" w:cs="Times New Roman"/>
          <w:b/>
          <w:color w:val="auto"/>
          <w:sz w:val="20"/>
          <w:szCs w:val="20"/>
        </w:rPr>
        <w:t>6</w:t>
      </w:r>
    </w:p>
    <w:p w:rsidR="00DF1B10" w:rsidRPr="00DF1B10" w:rsidRDefault="00DF1B10" w:rsidP="00DF1B10">
      <w:pPr>
        <w:widowControl/>
        <w:rPr>
          <w:rFonts w:ascii="Times New Roman" w:eastAsia="Times New Roman" w:hAnsi="Times New Roman" w:cs="Times New Roman"/>
          <w:b/>
          <w:color w:val="auto"/>
          <w:sz w:val="20"/>
          <w:szCs w:val="20"/>
        </w:rPr>
      </w:pP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ab/>
      </w:r>
      <w:r w:rsidRPr="00DF1B10">
        <w:rPr>
          <w:rFonts w:ascii="Times New Roman" w:eastAsia="Times New Roman" w:hAnsi="Times New Roman" w:cs="Times New Roman"/>
          <w:b/>
          <w:color w:val="auto"/>
          <w:sz w:val="20"/>
          <w:szCs w:val="20"/>
        </w:rPr>
        <w:tab/>
        <w:t xml:space="preserve">                  </w:t>
      </w:r>
      <w:r w:rsidRPr="00DF1B10">
        <w:rPr>
          <w:rFonts w:ascii="Times New Roman" w:eastAsia="Times New Roman" w:hAnsi="Times New Roman" w:cs="Times New Roman"/>
          <w:b/>
          <w:noProof/>
          <w:color w:val="auto"/>
          <w:sz w:val="20"/>
          <w:szCs w:val="20"/>
          <w:lang w:val="en-US"/>
        </w:rPr>
        <w:drawing>
          <wp:inline distT="0" distB="0" distL="0" distR="0" wp14:anchorId="07910302" wp14:editId="612D1148">
            <wp:extent cx="499745" cy="499745"/>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 xml:space="preserve">      INSPECTORATUL DE POLIŢIE JUDEŢEAN HARGHITA                                                                                                                                                                                                                </w:t>
      </w:r>
    </w:p>
    <w:p w:rsidR="00DF1B10" w:rsidRPr="00DF1B10" w:rsidRDefault="00DF1B10" w:rsidP="00DF1B10">
      <w:pPr>
        <w:widowControl/>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SERVICIUL DE LOGISTICĂ                    </w:t>
      </w:r>
    </w:p>
    <w:p w:rsidR="00DF1B10" w:rsidRPr="00DF1B10" w:rsidRDefault="00DF1B10" w:rsidP="00DF1B10">
      <w:pPr>
        <w:widowControl/>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keepNext/>
        <w:widowControl/>
        <w:outlineLvl w:val="0"/>
        <w:rPr>
          <w:rFonts w:ascii="Times New Roman" w:eastAsia="Times New Roman" w:hAnsi="Times New Roman" w:cs="Times New Roman"/>
          <w:color w:val="auto"/>
          <w:sz w:val="20"/>
          <w:szCs w:val="20"/>
        </w:rPr>
      </w:pPr>
      <w:r w:rsidRPr="00DF1B10">
        <w:rPr>
          <w:rFonts w:ascii="Tahoma" w:eastAsia="Times New Roman" w:hAnsi="Tahoma" w:cs="Tahoma"/>
          <w:b/>
          <w:color w:val="auto"/>
          <w:sz w:val="20"/>
          <w:szCs w:val="20"/>
        </w:rPr>
        <w:t xml:space="preserve">                                                                                                                                                        </w:t>
      </w:r>
    </w:p>
    <w:p w:rsidR="00DF1B10" w:rsidRPr="00DF1B10" w:rsidRDefault="00DF1B10" w:rsidP="00DF1B10">
      <w:pPr>
        <w:widowControl/>
        <w:ind w:left="4320" w:firstLine="720"/>
        <w:jc w:val="center"/>
        <w:rPr>
          <w:rFonts w:ascii="Times New Roman" w:eastAsia="Times New Roman" w:hAnsi="Times New Roman" w:cs="Times New Roman"/>
          <w:b/>
          <w:color w:val="auto"/>
          <w:szCs w:val="28"/>
        </w:rPr>
      </w:pPr>
      <w:r w:rsidRPr="00DF1B10">
        <w:rPr>
          <w:rFonts w:ascii="Times New Roman" w:eastAsia="Times New Roman" w:hAnsi="Times New Roman" w:cs="Times New Roman"/>
          <w:b/>
          <w:color w:val="auto"/>
          <w:szCs w:val="28"/>
        </w:rPr>
        <w:t xml:space="preserve">   </w:t>
      </w:r>
      <w:r>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APROB,</w:t>
      </w:r>
      <w:r w:rsidRPr="00DF1B10">
        <w:rPr>
          <w:rFonts w:ascii="Times New Roman" w:eastAsia="Times New Roman" w:hAnsi="Times New Roman" w:cs="Times New Roman"/>
          <w:b/>
          <w:color w:val="auto"/>
          <w:szCs w:val="28"/>
        </w:rPr>
        <w:tab/>
      </w:r>
    </w:p>
    <w:p w:rsidR="00DF1B10" w:rsidRPr="00DF1B10" w:rsidRDefault="00DF1B10" w:rsidP="00DF1B10">
      <w:pPr>
        <w:widowControl/>
        <w:jc w:val="center"/>
        <w:rPr>
          <w:rFonts w:ascii="Times New Roman" w:eastAsia="Times New Roman" w:hAnsi="Times New Roman" w:cs="Times New Roman"/>
          <w:b/>
          <w:color w:val="auto"/>
          <w:sz w:val="22"/>
        </w:rPr>
      </w:pPr>
      <w:r w:rsidRPr="00DF1B10">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t>Î /ŞEFUL INSPECTORATULUI</w:t>
      </w:r>
    </w:p>
    <w:p w:rsidR="00DF1B10" w:rsidRPr="00DF1B10" w:rsidRDefault="00DF1B10" w:rsidP="00DF1B10">
      <w:pPr>
        <w:widowControl/>
        <w:ind w:left="5760"/>
        <w:jc w:val="both"/>
        <w:rPr>
          <w:rFonts w:ascii="Times New Roman" w:eastAsia="Times New Roman" w:hAnsi="Times New Roman" w:cs="Times New Roman"/>
          <w:color w:val="auto"/>
          <w:sz w:val="22"/>
          <w:lang w:val="fr-FR"/>
        </w:rPr>
      </w:pPr>
      <w:r w:rsidRPr="00DF1B10">
        <w:rPr>
          <w:rFonts w:ascii="Times New Roman" w:eastAsia="Times New Roman" w:hAnsi="Times New Roman" w:cs="Times New Roman"/>
          <w:i/>
          <w:color w:val="auto"/>
          <w:szCs w:val="28"/>
        </w:rPr>
        <w:t xml:space="preserve">             Comisar șef de poliţie</w:t>
      </w:r>
    </w:p>
    <w:p w:rsidR="00DF1B10" w:rsidRPr="00DF1B10" w:rsidRDefault="00DF1B10" w:rsidP="00DF1B10">
      <w:pPr>
        <w:widowControl/>
        <w:rPr>
          <w:rFonts w:ascii="Times New Roman" w:eastAsia="Times New Roman" w:hAnsi="Times New Roman" w:cs="Times New Roman"/>
          <w:i/>
          <w:color w:val="auto"/>
          <w:sz w:val="22"/>
        </w:rPr>
      </w:pPr>
      <w:r w:rsidRPr="00DF1B10">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t xml:space="preserve">     MIHALACHE CONSTANTIN</w:t>
      </w:r>
    </w:p>
    <w:p w:rsidR="001E5635" w:rsidRDefault="001E5635" w:rsidP="00DF1B10">
      <w:pPr>
        <w:widowControl/>
        <w:rPr>
          <w:rFonts w:ascii="Times New Roman" w:hAnsi="Times New Roman" w:cs="Times New Roman"/>
          <w:sz w:val="28"/>
          <w:szCs w:val="28"/>
        </w:rPr>
      </w:pPr>
    </w:p>
    <w:p w:rsidR="00DF1B10" w:rsidRPr="00DF1B10" w:rsidRDefault="00DF1B10" w:rsidP="00DF1B10">
      <w:pPr>
        <w:widowControl/>
        <w:rPr>
          <w:rFonts w:ascii="Times New Roman" w:hAnsi="Times New Roman" w:cs="Times New Roman"/>
          <w:sz w:val="28"/>
          <w:szCs w:val="28"/>
        </w:rPr>
      </w:pPr>
    </w:p>
    <w:p w:rsidR="00FA148B" w:rsidRPr="00DF1B10" w:rsidRDefault="00C93B8B">
      <w:pPr>
        <w:pStyle w:val="BodyText2"/>
        <w:shd w:val="clear" w:color="auto" w:fill="auto"/>
        <w:spacing w:after="654"/>
        <w:ind w:right="120" w:firstLine="0"/>
        <w:jc w:val="center"/>
        <w:rPr>
          <w:rFonts w:ascii="Times New Roman" w:hAnsi="Times New Roman" w:cs="Times New Roman"/>
          <w:b/>
          <w:sz w:val="36"/>
          <w:szCs w:val="36"/>
        </w:rPr>
      </w:pPr>
      <w:r w:rsidRPr="00DF1B10">
        <w:rPr>
          <w:rFonts w:ascii="Times New Roman" w:hAnsi="Times New Roman" w:cs="Times New Roman"/>
          <w:b/>
          <w:sz w:val="36"/>
          <w:szCs w:val="36"/>
        </w:rPr>
        <w:t xml:space="preserve">Strategia anuală de achiziţie publică pe anul 2017 </w:t>
      </w:r>
      <w:r w:rsidR="001E5635" w:rsidRPr="00DF1B10">
        <w:rPr>
          <w:rFonts w:ascii="Times New Roman" w:hAnsi="Times New Roman" w:cs="Times New Roman"/>
          <w:b/>
          <w:sz w:val="36"/>
          <w:szCs w:val="36"/>
        </w:rPr>
        <w:t>a IPJ HARGHITA</w:t>
      </w:r>
    </w:p>
    <w:p w:rsidR="00FA148B" w:rsidRPr="00DF1B10" w:rsidRDefault="00C93B8B">
      <w:pPr>
        <w:pStyle w:val="Heading10"/>
        <w:keepNext/>
        <w:keepLines/>
        <w:numPr>
          <w:ilvl w:val="0"/>
          <w:numId w:val="1"/>
        </w:numPr>
        <w:shd w:val="clear" w:color="auto" w:fill="auto"/>
        <w:tabs>
          <w:tab w:val="left" w:pos="740"/>
        </w:tabs>
        <w:spacing w:before="0" w:after="304" w:line="250" w:lineRule="exact"/>
        <w:ind w:left="20"/>
        <w:rPr>
          <w:rFonts w:ascii="Times New Roman" w:hAnsi="Times New Roman" w:cs="Times New Roman"/>
          <w:sz w:val="28"/>
          <w:szCs w:val="28"/>
        </w:rPr>
      </w:pPr>
      <w:bookmarkStart w:id="1" w:name="bookmark0"/>
      <w:r w:rsidRPr="00DF1B10">
        <w:rPr>
          <w:rFonts w:ascii="Times New Roman" w:hAnsi="Times New Roman" w:cs="Times New Roman"/>
          <w:sz w:val="28"/>
          <w:szCs w:val="28"/>
        </w:rPr>
        <w:t>Noţiuni introductive</w:t>
      </w:r>
      <w:bookmarkEnd w:id="1"/>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Potrivit dispoziţiilor Legii nr. 98/2016 privind achiziţiile publice şi a HG nr.395/2016 - publicată în Monitorul oficial nr.423 din 06.06.2016 - pentru aprobarea Normelor metodologice de aplicare a prevederilor referitoare la atribuirea contractului de achiziţie publică/acordului-cadru din Legea nr. 98/2016 privind achiziţiile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procedat la întocmirea prezentei Strategii prin utilizarea informaţiilor cel puţin a următoarelor elemente estimative: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nevoile identificate la nivel de autoritate contractantă ca fiind necesar a fi satisfăcute ca rezultat al unui proces de achiziţie, aşa cum rezultă acestea din solicitările transmise de toate direcţiile/ compartimentele din cadrul autorităţii contractante</w:t>
      </w:r>
    </w:p>
    <w:p w:rsidR="00FA148B" w:rsidRPr="00DF1B10" w:rsidRDefault="00C93B8B">
      <w:pPr>
        <w:pStyle w:val="BodyText2"/>
        <w:numPr>
          <w:ilvl w:val="0"/>
          <w:numId w:val="2"/>
        </w:numPr>
        <w:shd w:val="clear" w:color="auto" w:fill="auto"/>
        <w:tabs>
          <w:tab w:val="left" w:pos="74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valoarea estimată a achiziţiei corespunzătoare fiecărei nevoi</w:t>
      </w:r>
    </w:p>
    <w:p w:rsidR="00FA148B" w:rsidRPr="00DF1B10" w:rsidRDefault="00C93B8B">
      <w:pPr>
        <w:pStyle w:val="BodyText2"/>
        <w:numPr>
          <w:ilvl w:val="0"/>
          <w:numId w:val="2"/>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capacitatea profesională existentă la nivel de autoritate contractantă pentru derularea unui proces care să asigure beneficiile anticipate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resursele existente la nivel de autoritate contractantă şi după caz necesarul de resurse suplimentare externe, care pot fi alocate derulării proceselor de achiziţii publice.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Prezenta Strategie anuală de achiziţie publică la nivelul </w:t>
      </w:r>
      <w:r w:rsidR="001E5635" w:rsidRPr="00DF1B10">
        <w:rPr>
          <w:rFonts w:ascii="Times New Roman" w:hAnsi="Times New Roman" w:cs="Times New Roman"/>
          <w:sz w:val="28"/>
          <w:szCs w:val="28"/>
        </w:rPr>
        <w:t>IPJ HR</w:t>
      </w:r>
      <w:r w:rsidRPr="00DF1B10">
        <w:rPr>
          <w:rFonts w:ascii="Times New Roman" w:hAnsi="Times New Roman" w:cs="Times New Roman"/>
          <w:sz w:val="28"/>
          <w:szCs w:val="28"/>
        </w:rPr>
        <w:t xml:space="preserve">, reprezintă totalitatea proceselor de achiziţie publică planificate a fi lansate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în calitate de autoritate contractantă pe parcursul unui an bugetar.</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Strategia anuală de achiziţie publică se realizează, potrivit dispoziţiilor legale, în ultimul trimestru al anului anterior anului căruia îi corespund procesele de achiziţie publică cuprinse în aceasta, şi se aprobă de către conducătorul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Strategia anuală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poate modifica sau completa ulterior, modificări/completări care se aprobă conform prevederilor de mai sus. Introducerea modificărilor şi completărilor în prezenta Strategie, este condiţională de identificarea surselor de finanţare.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În cadrul Strategiei anuale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va elabora Programul anual al achiziţiilor publice, ca instrument managerial utilizat </w:t>
      </w:r>
      <w:r w:rsidRPr="00DF1B10">
        <w:rPr>
          <w:rFonts w:ascii="Times New Roman" w:hAnsi="Times New Roman" w:cs="Times New Roman"/>
          <w:sz w:val="28"/>
          <w:szCs w:val="28"/>
        </w:rPr>
        <w:lastRenderedPageBreak/>
        <w:t>pentru planificarea şi monitorizarea portofoliului de procese de achiziţie la nivel de autoritate contractantă, pentru planificarea resurselor necesare derulării proceselor şi pentru verificarea modului de îndeplinire a obiectivelor din strategia locală/regională/naţională de dezvoltare, acolo unde este aplicabil.</w:t>
      </w:r>
    </w:p>
    <w:p w:rsidR="00FA148B" w:rsidRPr="00DF1B10" w:rsidRDefault="00C93B8B">
      <w:pPr>
        <w:pStyle w:val="BodyText2"/>
        <w:numPr>
          <w:ilvl w:val="0"/>
          <w:numId w:val="1"/>
        </w:numPr>
        <w:shd w:val="clear" w:color="auto" w:fill="auto"/>
        <w:tabs>
          <w:tab w:val="left" w:pos="750"/>
        </w:tabs>
        <w:spacing w:after="304" w:line="250" w:lineRule="exact"/>
        <w:ind w:left="740"/>
        <w:rPr>
          <w:rFonts w:ascii="Times New Roman" w:hAnsi="Times New Roman" w:cs="Times New Roman"/>
          <w:sz w:val="28"/>
          <w:szCs w:val="28"/>
        </w:rPr>
      </w:pPr>
      <w:r w:rsidRPr="00DF1B10">
        <w:rPr>
          <w:rFonts w:ascii="Times New Roman" w:hAnsi="Times New Roman" w:cs="Times New Roman"/>
          <w:sz w:val="28"/>
          <w:szCs w:val="28"/>
        </w:rPr>
        <w:t>Etapele procesului de achiziţie publică care vor fi parcurse în anul 2017</w:t>
      </w:r>
    </w:p>
    <w:p w:rsidR="00FA148B" w:rsidRPr="00DF1B10" w:rsidRDefault="00C93B8B">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Atribuirea unui contract de achiziţii publică/acord-cadru este rezultatul unui proces ce se derulează în mai multe etape.</w:t>
      </w:r>
    </w:p>
    <w:p w:rsidR="00FA148B" w:rsidRPr="00DF1B10" w:rsidRDefault="001E5635">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în calitate de autoritate contractantă, are obligaţia de a se documenta şi de a parcurge pentru fiecare proces de achiziţie publică trei etape distincte:</w:t>
      </w:r>
    </w:p>
    <w:p w:rsidR="00FA148B" w:rsidRPr="00DF1B10" w:rsidRDefault="00C93B8B">
      <w:pPr>
        <w:pStyle w:val="BodyText2"/>
        <w:numPr>
          <w:ilvl w:val="0"/>
          <w:numId w:val="3"/>
        </w:numPr>
        <w:shd w:val="clear" w:color="auto" w:fill="auto"/>
        <w:tabs>
          <w:tab w:val="left" w:pos="740"/>
        </w:tabs>
        <w:ind w:left="740"/>
        <w:rPr>
          <w:rFonts w:ascii="Times New Roman" w:hAnsi="Times New Roman" w:cs="Times New Roman"/>
          <w:sz w:val="28"/>
          <w:szCs w:val="28"/>
        </w:rPr>
      </w:pPr>
      <w:r w:rsidRPr="00DF1B10">
        <w:rPr>
          <w:rFonts w:ascii="Times New Roman" w:hAnsi="Times New Roman" w:cs="Times New Roman"/>
          <w:sz w:val="28"/>
          <w:szCs w:val="28"/>
        </w:rPr>
        <w:t>etapa de planificare/pregătire, inclusiv consultarea pieţei;</w:t>
      </w:r>
    </w:p>
    <w:p w:rsidR="00FA148B" w:rsidRPr="00DF1B10" w:rsidRDefault="00C93B8B">
      <w:pPr>
        <w:pStyle w:val="BodyText2"/>
        <w:numPr>
          <w:ilvl w:val="0"/>
          <w:numId w:val="3"/>
        </w:numPr>
        <w:shd w:val="clear" w:color="auto" w:fill="auto"/>
        <w:tabs>
          <w:tab w:val="left" w:pos="730"/>
        </w:tabs>
        <w:ind w:left="740"/>
        <w:rPr>
          <w:rFonts w:ascii="Times New Roman" w:hAnsi="Times New Roman" w:cs="Times New Roman"/>
          <w:sz w:val="28"/>
          <w:szCs w:val="28"/>
        </w:rPr>
      </w:pPr>
      <w:r w:rsidRPr="00DF1B10">
        <w:rPr>
          <w:rFonts w:ascii="Times New Roman" w:hAnsi="Times New Roman" w:cs="Times New Roman"/>
          <w:sz w:val="28"/>
          <w:szCs w:val="28"/>
        </w:rPr>
        <w:t>etapa de organizare a procedurii şi atribuirea contractului/acordului-cadru;</w:t>
      </w:r>
    </w:p>
    <w:p w:rsidR="00FA148B" w:rsidRPr="00DF1B10" w:rsidRDefault="00C93B8B">
      <w:pPr>
        <w:pStyle w:val="BodyText2"/>
        <w:numPr>
          <w:ilvl w:val="0"/>
          <w:numId w:val="3"/>
        </w:numPr>
        <w:shd w:val="clear" w:color="auto" w:fill="auto"/>
        <w:tabs>
          <w:tab w:val="left" w:pos="740"/>
        </w:tabs>
        <w:spacing w:after="300"/>
        <w:ind w:left="740" w:right="20"/>
        <w:rPr>
          <w:rFonts w:ascii="Times New Roman" w:hAnsi="Times New Roman" w:cs="Times New Roman"/>
          <w:sz w:val="28"/>
          <w:szCs w:val="28"/>
        </w:rPr>
      </w:pPr>
      <w:r w:rsidRPr="00DF1B10">
        <w:rPr>
          <w:rFonts w:ascii="Times New Roman" w:hAnsi="Times New Roman" w:cs="Times New Roman"/>
          <w:sz w:val="28"/>
          <w:szCs w:val="28"/>
        </w:rPr>
        <w:t xml:space="preserve">etapa </w:t>
      </w:r>
      <w:proofErr w:type="spellStart"/>
      <w:r w:rsidRPr="00DF1B10">
        <w:rPr>
          <w:rFonts w:ascii="Times New Roman" w:hAnsi="Times New Roman" w:cs="Times New Roman"/>
          <w:sz w:val="28"/>
          <w:szCs w:val="28"/>
        </w:rPr>
        <w:t>postatribuire</w:t>
      </w:r>
      <w:proofErr w:type="spellEnd"/>
      <w:r w:rsidRPr="00DF1B10">
        <w:rPr>
          <w:rFonts w:ascii="Times New Roman" w:hAnsi="Times New Roman" w:cs="Times New Roman"/>
          <w:sz w:val="28"/>
          <w:szCs w:val="28"/>
        </w:rPr>
        <w:t xml:space="preserve"> contract/acord-cadru, respectiv executarea şi monitorizarea implementării contractului/acordului-cadru.</w:t>
      </w:r>
    </w:p>
    <w:p w:rsidR="00FA148B" w:rsidRPr="00DF1B10" w:rsidRDefault="00C93B8B">
      <w:pPr>
        <w:pStyle w:val="BodyText2"/>
        <w:numPr>
          <w:ilvl w:val="0"/>
          <w:numId w:val="4"/>
        </w:numPr>
        <w:shd w:val="clear" w:color="auto" w:fill="auto"/>
        <w:tabs>
          <w:tab w:val="left" w:pos="750"/>
        </w:tabs>
        <w:ind w:left="20" w:right="20" w:firstLine="360"/>
        <w:rPr>
          <w:rFonts w:ascii="Times New Roman" w:hAnsi="Times New Roman" w:cs="Times New Roman"/>
          <w:sz w:val="28"/>
          <w:szCs w:val="28"/>
        </w:rPr>
      </w:pPr>
      <w:r w:rsidRPr="00DF1B10">
        <w:rPr>
          <w:rFonts w:ascii="Times New Roman" w:hAnsi="Times New Roman" w:cs="Times New Roman"/>
          <w:sz w:val="28"/>
          <w:szCs w:val="28"/>
        </w:rPr>
        <w:t>Etapa de planificare/pregătire a unui proces de achiziţie publică</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iniţiază prin identificarea necesităţilor şi elaborarea referatelor de necesitate</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încheie cu aprobarea de către </w:t>
      </w:r>
      <w:r w:rsidR="001E5635" w:rsidRPr="00DF1B10">
        <w:rPr>
          <w:rFonts w:ascii="Times New Roman" w:hAnsi="Times New Roman" w:cs="Times New Roman"/>
          <w:sz w:val="28"/>
          <w:szCs w:val="28"/>
        </w:rPr>
        <w:t>Șeful Inspectoratului</w:t>
      </w:r>
      <w:r w:rsidRPr="00DF1B10">
        <w:rPr>
          <w:rFonts w:ascii="Times New Roman" w:hAnsi="Times New Roman" w:cs="Times New Roman"/>
          <w:sz w:val="28"/>
          <w:szCs w:val="28"/>
        </w:rPr>
        <w:t xml:space="preserve"> a documentaţiei de atribuire, inclusiv a documentelor-suport, precum şi a strategiei de contractare pentru procedura respectivă.</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Strategia de contractare este un document al fiecărei achiziţii cu o valoare estimată egală sau mai mare decât pragurile valorice stabilite la art.7 alin. 5 din Legea nr.98/2016 privind achiziţiile publice, iniţiată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şi este obiect de evaluare a Agenţiei Naţionale a Achiziţiilor Publice, în condiţiile stabilite la art. 23 din HG nr. 395/2016 - publicata în Monitorul oficial nr. 423 din 06.06.2016 - pentru aprobarea Normelor metodologice de aplicare a prevederilor referitoare la atribuirea contractului de achiziţie publică/acordului-cadru din Legea nr. 98/2016 privind achiziţiile publice.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Prin intermediul strategiei de contractare se documentează deciziile din etapa de planificare/pregătire a achiziţiei în legătură cu:</w:t>
      </w:r>
    </w:p>
    <w:p w:rsidR="00FA148B" w:rsidRPr="00DF1B10" w:rsidRDefault="00C93B8B">
      <w:pPr>
        <w:pStyle w:val="BodyText2"/>
        <w:numPr>
          <w:ilvl w:val="0"/>
          <w:numId w:val="5"/>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relaţia dintre obiectul, constrângerile asociate şi complexitatea contractului, pe de o parte, şi resursele disponibile la nivel de autoritate contractantă pentru derularea activităţilor din etapele procesului de achiziţie publică, pe de altă parte;</w:t>
      </w:r>
    </w:p>
    <w:p w:rsidR="00FA148B" w:rsidRPr="00DF1B10" w:rsidRDefault="00C93B8B">
      <w:pPr>
        <w:pStyle w:val="BodyText2"/>
        <w:numPr>
          <w:ilvl w:val="0"/>
          <w:numId w:val="5"/>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procedura de atribuire aleasă, precum şi modalităţile speciale de atribuire a contractului de achiziţie publică asociate, dacă este cazul;</w:t>
      </w:r>
    </w:p>
    <w:p w:rsidR="00FA148B" w:rsidRPr="00DF1B10" w:rsidRDefault="00C93B8B">
      <w:pPr>
        <w:pStyle w:val="BodyText2"/>
        <w:numPr>
          <w:ilvl w:val="0"/>
          <w:numId w:val="5"/>
        </w:numPr>
        <w:shd w:val="clear" w:color="auto" w:fill="auto"/>
        <w:tabs>
          <w:tab w:val="left" w:pos="735"/>
        </w:tabs>
        <w:ind w:left="740"/>
        <w:rPr>
          <w:rFonts w:ascii="Times New Roman" w:hAnsi="Times New Roman" w:cs="Times New Roman"/>
          <w:sz w:val="28"/>
          <w:szCs w:val="28"/>
        </w:rPr>
      </w:pPr>
      <w:r w:rsidRPr="00DF1B10">
        <w:rPr>
          <w:rFonts w:ascii="Times New Roman" w:hAnsi="Times New Roman" w:cs="Times New Roman"/>
          <w:sz w:val="28"/>
          <w:szCs w:val="28"/>
        </w:rPr>
        <w:t>tipul de contract propus şi modalitatea de implementare a acestuia;</w:t>
      </w:r>
    </w:p>
    <w:p w:rsidR="00FA148B" w:rsidRPr="00DF1B10" w:rsidRDefault="00C93B8B">
      <w:pPr>
        <w:pStyle w:val="BodyText2"/>
        <w:numPr>
          <w:ilvl w:val="0"/>
          <w:numId w:val="5"/>
        </w:numPr>
        <w:shd w:val="clear" w:color="auto" w:fill="auto"/>
        <w:tabs>
          <w:tab w:val="left" w:pos="745"/>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mecanismele de plată în cadrul contractului, alocarea riscurilor în cadrul acestuia, măsuri de gestionare a acestora, stabilirea penalităţilor pentru neîndeplinirea sau îndeplinirea defectuoasă a obligaţiilor contractuale;</w:t>
      </w:r>
    </w:p>
    <w:p w:rsidR="00FA148B" w:rsidRPr="00DF1B10" w:rsidRDefault="00C93B8B">
      <w:pPr>
        <w:pStyle w:val="BodyText2"/>
        <w:numPr>
          <w:ilvl w:val="0"/>
          <w:numId w:val="5"/>
        </w:numPr>
        <w:shd w:val="clear" w:color="auto" w:fill="auto"/>
        <w:tabs>
          <w:tab w:val="left" w:pos="726"/>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justificările privind determinarea valorii estimate a contractului/acordului-cadru, precum şi orice alte elemente legate de obţinerea de beneficii pentru autoritatea contractantă;</w:t>
      </w:r>
    </w:p>
    <w:p w:rsidR="00FA148B" w:rsidRPr="00DF1B10" w:rsidRDefault="00C93B8B">
      <w:pPr>
        <w:pStyle w:val="BodyText2"/>
        <w:numPr>
          <w:ilvl w:val="0"/>
          <w:numId w:val="5"/>
        </w:numPr>
        <w:shd w:val="clear" w:color="auto" w:fill="auto"/>
        <w:tabs>
          <w:tab w:val="left" w:pos="73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 xml:space="preserve">justificările privind alegerea procedurii de atribuire în situaţiile prevăzute la art. 69 alin. 2-5 din Legea nr.98/2016 privind achiziţiile publice şi după caz, decizia de a reduce termenele în condiţiile legii, decizia de a nu utiliza împărţirea pe loturi, criteriile de calificare privind capacitatea şi, după caz, </w:t>
      </w:r>
      <w:r w:rsidRPr="00DF1B10">
        <w:rPr>
          <w:rFonts w:ascii="Times New Roman" w:hAnsi="Times New Roman" w:cs="Times New Roman"/>
          <w:sz w:val="28"/>
          <w:szCs w:val="28"/>
        </w:rPr>
        <w:lastRenderedPageBreak/>
        <w:t>criteriile de selecţie, criteriul de atribuire şi factorii de evaluare utilizaţi;</w:t>
      </w:r>
    </w:p>
    <w:p w:rsidR="00FA148B" w:rsidRPr="00DF1B10" w:rsidRDefault="00C93B8B">
      <w:pPr>
        <w:pStyle w:val="BodyText2"/>
        <w:numPr>
          <w:ilvl w:val="0"/>
          <w:numId w:val="5"/>
        </w:numPr>
        <w:shd w:val="clear" w:color="auto" w:fill="auto"/>
        <w:tabs>
          <w:tab w:val="left" w:pos="745"/>
        </w:tabs>
        <w:ind w:left="740" w:right="20"/>
        <w:rPr>
          <w:rFonts w:ascii="Times New Roman" w:hAnsi="Times New Roman" w:cs="Times New Roman"/>
          <w:sz w:val="28"/>
          <w:szCs w:val="28"/>
        </w:rPr>
      </w:pPr>
      <w:r w:rsidRPr="00DF1B10">
        <w:rPr>
          <w:rFonts w:ascii="Times New Roman" w:hAnsi="Times New Roman" w:cs="Times New Roman"/>
          <w:sz w:val="28"/>
          <w:szCs w:val="28"/>
        </w:rPr>
        <w:t>obiectivul din strategia locală/regională/naţională de dezvoltare la a cărui realizare contribuie contractul/acordul - cadru respectiv, dacă este cazul;</w:t>
      </w:r>
    </w:p>
    <w:p w:rsidR="00FA148B" w:rsidRPr="00DF1B10" w:rsidRDefault="00C93B8B">
      <w:pPr>
        <w:pStyle w:val="BodyText2"/>
        <w:numPr>
          <w:ilvl w:val="0"/>
          <w:numId w:val="5"/>
        </w:numPr>
        <w:shd w:val="clear" w:color="auto" w:fill="auto"/>
        <w:tabs>
          <w:tab w:val="left" w:pos="750"/>
        </w:tabs>
        <w:ind w:left="740" w:right="20"/>
        <w:rPr>
          <w:rFonts w:ascii="Times New Roman" w:hAnsi="Times New Roman" w:cs="Times New Roman"/>
          <w:sz w:val="28"/>
          <w:szCs w:val="28"/>
        </w:rPr>
      </w:pPr>
      <w:r w:rsidRPr="00DF1B10">
        <w:rPr>
          <w:rFonts w:ascii="Times New Roman" w:hAnsi="Times New Roman" w:cs="Times New Roman"/>
          <w:sz w:val="28"/>
          <w:szCs w:val="28"/>
        </w:rPr>
        <w:t>orice alte elemente relevante pentru îndeplinirea necesităţilor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b) Etapa de organizare a procedurii şi atribuire a contractului/acordului-cadru începe prin transmiterea documentaţiei de atribuire în SEAP şi se finalizează odată cu intrarea în vigoare a contractului de achiziţie publică/acordului-cadru.</w:t>
      </w:r>
    </w:p>
    <w:p w:rsidR="00FA148B" w:rsidRPr="00DF1B10" w:rsidRDefault="00C93B8B">
      <w:pPr>
        <w:pStyle w:val="BodyText2"/>
        <w:shd w:val="clear" w:color="auto" w:fill="auto"/>
        <w:spacing w:after="35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legale în materia achiziţiilor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realiza un proces de achiziţie publică prin utilizarea uneia dintre următoarele abordări, respectiv cu resursele profesionale proprii, resurse necesare celor trei etape mai sus identificate existente Ia nivel de autoritate contractantă. Atunci când resursele proprii nu permit întocmirea caietelor de sarcini/specificaţiilor tehnice, prin excepţie de la regula de mai sus,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recurge Ia ajutorul unui furnizor de servicii, selectat în condiţiile legislaţiei achiziţiilor publice.</w:t>
      </w:r>
    </w:p>
    <w:p w:rsidR="00FA148B" w:rsidRPr="00DF1B10" w:rsidRDefault="00C93B8B">
      <w:pPr>
        <w:pStyle w:val="BodyText2"/>
        <w:numPr>
          <w:ilvl w:val="0"/>
          <w:numId w:val="6"/>
        </w:numPr>
        <w:shd w:val="clear" w:color="auto" w:fill="auto"/>
        <w:tabs>
          <w:tab w:val="left" w:pos="750"/>
        </w:tabs>
        <w:spacing w:after="299" w:line="250" w:lineRule="exact"/>
        <w:ind w:left="20" w:firstLine="360"/>
        <w:jc w:val="both"/>
        <w:rPr>
          <w:rFonts w:ascii="Times New Roman" w:hAnsi="Times New Roman" w:cs="Times New Roman"/>
          <w:sz w:val="28"/>
          <w:szCs w:val="28"/>
        </w:rPr>
      </w:pPr>
      <w:r w:rsidRPr="00DF1B10">
        <w:rPr>
          <w:rFonts w:ascii="Times New Roman" w:hAnsi="Times New Roman" w:cs="Times New Roman"/>
          <w:sz w:val="28"/>
          <w:szCs w:val="28"/>
        </w:rPr>
        <w:t>Programul anual al achiziţiilor publice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 anul 2017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elaborează pe baza referatelor de necesitate transmise de </w:t>
      </w:r>
      <w:r w:rsidR="001E5635" w:rsidRPr="00DF1B10">
        <w:rPr>
          <w:rFonts w:ascii="Times New Roman" w:hAnsi="Times New Roman" w:cs="Times New Roman"/>
          <w:sz w:val="28"/>
          <w:szCs w:val="28"/>
        </w:rPr>
        <w:t>serviciile/birourile</w:t>
      </w:r>
      <w:r w:rsidRPr="00DF1B10">
        <w:rPr>
          <w:rFonts w:ascii="Times New Roman" w:hAnsi="Times New Roman" w:cs="Times New Roman"/>
          <w:sz w:val="28"/>
          <w:szCs w:val="28"/>
        </w:rPr>
        <w:t>/compartimentele</w:t>
      </w:r>
      <w:r w:rsidR="001E5635" w:rsidRPr="00DF1B10">
        <w:rPr>
          <w:rFonts w:ascii="Times New Roman" w:hAnsi="Times New Roman" w:cs="Times New Roman"/>
          <w:sz w:val="28"/>
          <w:szCs w:val="28"/>
        </w:rPr>
        <w:t>/subunitățile</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din cadrul IPJ</w:t>
      </w:r>
      <w:r w:rsidRPr="00DF1B10">
        <w:rPr>
          <w:rFonts w:ascii="Times New Roman" w:hAnsi="Times New Roman" w:cs="Times New Roman"/>
          <w:sz w:val="28"/>
          <w:szCs w:val="28"/>
        </w:rPr>
        <w:t xml:space="preserve"> Harghita şi cuprinde totalitatea contractelor de achiziţie publică/acordurilor-cadru pe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intenţionează să le atribuie în decursul anului 2017.</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La elaborarea Programului anual al achiziţiilor publice pentru anul 2017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ţinut cont de:</w:t>
      </w:r>
    </w:p>
    <w:p w:rsidR="00FA148B" w:rsidRPr="00DF1B10" w:rsidRDefault="00C93B8B">
      <w:pPr>
        <w:pStyle w:val="BodyText2"/>
        <w:numPr>
          <w:ilvl w:val="0"/>
          <w:numId w:val="7"/>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necesităţile obiective de produse, servicii şi lucrări;</w:t>
      </w:r>
    </w:p>
    <w:p w:rsidR="00FA148B" w:rsidRPr="00DF1B10" w:rsidRDefault="00C93B8B">
      <w:pPr>
        <w:pStyle w:val="BodyText2"/>
        <w:numPr>
          <w:ilvl w:val="0"/>
          <w:numId w:val="7"/>
        </w:numPr>
        <w:shd w:val="clear" w:color="auto" w:fill="auto"/>
        <w:tabs>
          <w:tab w:val="left" w:pos="726"/>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gradul de prioritate a necesităţilor;</w:t>
      </w:r>
    </w:p>
    <w:p w:rsidR="00FA148B" w:rsidRPr="00DF1B10" w:rsidRDefault="00C93B8B">
      <w:pPr>
        <w:pStyle w:val="BodyText2"/>
        <w:numPr>
          <w:ilvl w:val="0"/>
          <w:numId w:val="7"/>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anticipările cu privire la sursele de finanţare ce urmează a fi identificate.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aprobarea bugetului propriu, precum si ori de câte ori intervin modificări în bugetul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Programul anual al achiziţiilor publice pentru anul 2017, se va actualiza în funcţie de fondurile aprobate.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pentru anul 2017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cuprinde informaţii referitoare la:</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obiectul contractului de achiziţie publică/acordului-cadru;</w:t>
      </w:r>
    </w:p>
    <w:p w:rsidR="00FA148B" w:rsidRPr="00DF1B10" w:rsidRDefault="00C93B8B">
      <w:pPr>
        <w:pStyle w:val="BodyText2"/>
        <w:numPr>
          <w:ilvl w:val="0"/>
          <w:numId w:val="8"/>
        </w:numPr>
        <w:shd w:val="clear" w:color="auto" w:fill="auto"/>
        <w:tabs>
          <w:tab w:val="left" w:pos="73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codul vocabularului comun al achiziţiilor publice (CPV);</w:t>
      </w:r>
    </w:p>
    <w:p w:rsidR="00FA148B" w:rsidRPr="00DF1B10" w:rsidRDefault="00C93B8B">
      <w:pPr>
        <w:pStyle w:val="BodyText2"/>
        <w:numPr>
          <w:ilvl w:val="0"/>
          <w:numId w:val="8"/>
        </w:numPr>
        <w:shd w:val="clear" w:color="auto" w:fill="auto"/>
        <w:tabs>
          <w:tab w:val="left" w:pos="735"/>
        </w:tabs>
        <w:ind w:left="740" w:right="20"/>
        <w:rPr>
          <w:rFonts w:ascii="Times New Roman" w:hAnsi="Times New Roman" w:cs="Times New Roman"/>
          <w:sz w:val="28"/>
          <w:szCs w:val="28"/>
        </w:rPr>
      </w:pPr>
      <w:r w:rsidRPr="00DF1B10">
        <w:rPr>
          <w:rFonts w:ascii="Times New Roman" w:hAnsi="Times New Roman" w:cs="Times New Roman"/>
          <w:sz w:val="28"/>
          <w:szCs w:val="28"/>
        </w:rPr>
        <w:t>valoarea estimată a contractului/acordului-cadru ce urmează a fi atribuit ca rezultat al derulării unui proces de achiziţie, exprimată în lei, fără TVA;</w:t>
      </w:r>
    </w:p>
    <w:p w:rsidR="00FA148B" w:rsidRPr="00DF1B10" w:rsidRDefault="00C93B8B">
      <w:pPr>
        <w:pStyle w:val="BodyText2"/>
        <w:numPr>
          <w:ilvl w:val="0"/>
          <w:numId w:val="8"/>
        </w:numPr>
        <w:shd w:val="clear" w:color="auto" w:fill="auto"/>
        <w:tabs>
          <w:tab w:val="left" w:pos="73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sursa de finanţare;</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procedura stabilită pentru derularea procesului de achiziţie;</w:t>
      </w:r>
    </w:p>
    <w:p w:rsidR="00FA148B" w:rsidRPr="00DF1B10" w:rsidRDefault="00C93B8B">
      <w:pPr>
        <w:pStyle w:val="BodyText2"/>
        <w:numPr>
          <w:ilvl w:val="0"/>
          <w:numId w:val="8"/>
        </w:numPr>
        <w:shd w:val="clear" w:color="auto" w:fill="auto"/>
        <w:tabs>
          <w:tab w:val="left" w:pos="754"/>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iniţierea procedurii;</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atribuirea contractului;</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modalitatea de derulare a procedurii de atribuire, respectiv online sau offline.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definitivarea Programului anual al achiziţiilor publice pentru anul 2017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are obligaţia de a publica semestrial în SEAP extrase din acesta, precum şi orice modificări asupra acestora, în termen de 5 zile lucrătoare, extrase care se referă la:</w:t>
      </w:r>
    </w:p>
    <w:p w:rsidR="00FA148B" w:rsidRPr="00DF1B10" w:rsidRDefault="00C93B8B">
      <w:pPr>
        <w:pStyle w:val="BodyText2"/>
        <w:numPr>
          <w:ilvl w:val="0"/>
          <w:numId w:val="9"/>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 xml:space="preserve">contractele/acordurile-cadru de produse şi/sau servicii a căror valoare estimată </w:t>
      </w:r>
      <w:r w:rsidRPr="00DF1B10">
        <w:rPr>
          <w:rFonts w:ascii="Times New Roman" w:hAnsi="Times New Roman" w:cs="Times New Roman"/>
          <w:sz w:val="28"/>
          <w:szCs w:val="28"/>
        </w:rPr>
        <w:lastRenderedPageBreak/>
        <w:t>este mai mare sau egală cu pragurile prevăzute la art. 7 alin. (1) din Lege;</w:t>
      </w:r>
    </w:p>
    <w:p w:rsidR="00FA148B" w:rsidRPr="00DF1B10" w:rsidRDefault="00C93B8B">
      <w:pPr>
        <w:pStyle w:val="BodyText2"/>
        <w:numPr>
          <w:ilvl w:val="0"/>
          <w:numId w:val="9"/>
        </w:numPr>
        <w:shd w:val="clear" w:color="auto" w:fill="auto"/>
        <w:tabs>
          <w:tab w:val="left" w:pos="730"/>
        </w:tabs>
        <w:ind w:left="740" w:right="20"/>
        <w:rPr>
          <w:rFonts w:ascii="Times New Roman" w:hAnsi="Times New Roman" w:cs="Times New Roman"/>
          <w:sz w:val="28"/>
          <w:szCs w:val="28"/>
        </w:rPr>
      </w:pPr>
      <w:r w:rsidRPr="00DF1B10">
        <w:rPr>
          <w:rFonts w:ascii="Times New Roman" w:hAnsi="Times New Roman" w:cs="Times New Roman"/>
          <w:sz w:val="28"/>
          <w:szCs w:val="28"/>
        </w:rPr>
        <w:t>contractele/acordurile-cadru de lucrări a căror valoare estimată este mai mare sau egală cu pragurile prevăzute la art. 7 alin. (5) din Lege.</w:t>
      </w:r>
    </w:p>
    <w:p w:rsidR="00FA148B" w:rsidRPr="00DF1B10" w:rsidRDefault="00C93B8B">
      <w:pPr>
        <w:pStyle w:val="BodyText2"/>
        <w:shd w:val="clear" w:color="auto" w:fill="auto"/>
        <w:ind w:left="20" w:firstLine="0"/>
        <w:jc w:val="both"/>
        <w:rPr>
          <w:rFonts w:ascii="Times New Roman" w:hAnsi="Times New Roman" w:cs="Times New Roman"/>
          <w:sz w:val="28"/>
          <w:szCs w:val="28"/>
        </w:rPr>
      </w:pPr>
      <w:r w:rsidRPr="00DF1B10">
        <w:rPr>
          <w:rFonts w:ascii="Times New Roman" w:hAnsi="Times New Roman" w:cs="Times New Roman"/>
          <w:sz w:val="28"/>
          <w:szCs w:val="28"/>
        </w:rPr>
        <w:t>Programul anual al achiziţiilor publice pentru anul 2017 se va publica de asemenea, pe</w:t>
      </w:r>
    </w:p>
    <w:p w:rsidR="00FA148B" w:rsidRPr="00DF1B10" w:rsidRDefault="00C93B8B">
      <w:pPr>
        <w:pStyle w:val="BodyText2"/>
        <w:shd w:val="clear" w:color="auto" w:fill="auto"/>
        <w:ind w:lef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pagina de internet a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w:t>
      </w:r>
      <w:hyperlink w:history="1">
        <w:r w:rsidR="001E5635" w:rsidRPr="00DF1B10">
          <w:rPr>
            <w:rStyle w:val="Hyperlink"/>
            <w:rFonts w:ascii="Times New Roman" w:hAnsi="Times New Roman" w:cs="Times New Roman"/>
            <w:sz w:val="28"/>
            <w:szCs w:val="28"/>
          </w:rPr>
          <w:t xml:space="preserve"> www.politiaharghita.ro</w:t>
        </w:r>
      </w:hyperlink>
    </w:p>
    <w:p w:rsidR="00FA148B" w:rsidRPr="00DF1B10" w:rsidRDefault="00C93B8B">
      <w:pPr>
        <w:pStyle w:val="BodyText2"/>
        <w:shd w:val="clear" w:color="auto" w:fill="auto"/>
        <w:spacing w:after="294"/>
        <w:ind w:lef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4 din HG nr. 395/2016 pentru aprobarea Normelor metodologice de aplicare a prevederilor referitoare la atribuirea contractului de achiziţie publică/acordului-cadru din Legea nr. 98/2016 privind achiziţiile publice, conform căruia </w:t>
      </w:r>
      <w:r w:rsidRPr="00DF1B10">
        <w:rPr>
          <w:rStyle w:val="BodytextItalic"/>
          <w:rFonts w:ascii="Times New Roman" w:hAnsi="Times New Roman" w:cs="Times New Roman"/>
          <w:sz w:val="28"/>
          <w:szCs w:val="28"/>
        </w:rPr>
        <w:t>„prin ordin al preşedintelui Agenţiei Naţionale pentru Achiziţii Publice (ANAP) se pot pune la dispoziţia autorităţilor contractante şi a furnizorilor de servicii auxiliare achiziţiei un set de instrumente ce se utilizează pentru planificarea portofoliului de achiziţii la nivelul autorităţii contractante, fundamentarea deciziei de realizare a procesului de achiziţie şi monitorizarea implementării contractului, precum şi pentru prevenirea/diminuarea riscurilor în achiziţii publice</w:t>
      </w:r>
      <w:r w:rsidRPr="00DF1B10">
        <w:rPr>
          <w:rFonts w:ascii="Times New Roman" w:hAnsi="Times New Roman" w:cs="Times New Roman"/>
          <w:sz w:val="28"/>
          <w:szCs w:val="28"/>
        </w:rPr>
        <w:t xml:space="preserve"> ",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revizuirea Programului anual al achiziţiilor publice pentru anul 2017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în vederea punerii de acord cu actele normative ce se vor elabora/aproba în legătură cu prezenta strategie, în termen de tel 15 zile de la data intrării lor în vigoare, sau în termenul precizat în mod expres în actele normative ce se vor elabora/aproba.</w:t>
      </w:r>
    </w:p>
    <w:p w:rsidR="00FA148B" w:rsidRPr="00DF1B10" w:rsidRDefault="00C93B8B">
      <w:pPr>
        <w:pStyle w:val="BodyText2"/>
        <w:numPr>
          <w:ilvl w:val="0"/>
          <w:numId w:val="6"/>
        </w:numPr>
        <w:shd w:val="clear" w:color="auto" w:fill="auto"/>
        <w:tabs>
          <w:tab w:val="left" w:pos="745"/>
        </w:tabs>
        <w:spacing w:after="295" w:line="250" w:lineRule="exact"/>
        <w:ind w:left="20" w:firstLine="360"/>
        <w:jc w:val="both"/>
        <w:rPr>
          <w:rFonts w:ascii="Times New Roman" w:hAnsi="Times New Roman" w:cs="Times New Roman"/>
          <w:sz w:val="28"/>
          <w:szCs w:val="28"/>
        </w:rPr>
      </w:pPr>
      <w:r w:rsidRPr="00DF1B10">
        <w:rPr>
          <w:rFonts w:ascii="Times New Roman" w:hAnsi="Times New Roman" w:cs="Times New Roman"/>
          <w:sz w:val="28"/>
          <w:szCs w:val="28"/>
        </w:rPr>
        <w:t>Sistemul de control intern</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noua legislaţie privind achiziţiile publice, ca şi document de politica internă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prin reprezentantul sau legal consideră că sistemul propriu de control intern trebuie să acopere toate fazele procesului de achiziţii publice de la pregătirea achiziţiei până la executarea contractului, iar cerinţele efective trebuie diferenţiate în funcţie de mărimea </w:t>
      </w:r>
      <w:r w:rsidR="001E5635" w:rsidRPr="00DF1B10">
        <w:rPr>
          <w:rFonts w:ascii="Times New Roman" w:hAnsi="Times New Roman" w:cs="Times New Roman"/>
          <w:sz w:val="28"/>
          <w:szCs w:val="28"/>
        </w:rPr>
        <w:t>Inspectoratului de Poliție Județean Harghita</w:t>
      </w:r>
      <w:r w:rsidRPr="00DF1B10">
        <w:rPr>
          <w:rFonts w:ascii="Times New Roman" w:hAnsi="Times New Roman" w:cs="Times New Roman"/>
          <w:sz w:val="28"/>
          <w:szCs w:val="28"/>
        </w:rPr>
        <w:t xml:space="preserve"> ca şi autoritate contractanta.</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De asemenea, având în vedere standardele de control intern pentru gestionarea efectivă a procesului de achiziţii publice (inclusiv descrierea procesului, fluxul de informaţii şi matricea responsabilităţilor) pentru a stabili cerinţele pentru activităţile de control intern, controlul intern va trebui să includă cel puţin următoarele faze:</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pregătirea achiziţiilor,</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redactarea documentaţiei de atribuire,</w:t>
      </w:r>
    </w:p>
    <w:p w:rsidR="00FA148B" w:rsidRPr="00DF1B10" w:rsidRDefault="00C93B8B">
      <w:pPr>
        <w:pStyle w:val="BodyText2"/>
        <w:numPr>
          <w:ilvl w:val="0"/>
          <w:numId w:val="10"/>
        </w:numPr>
        <w:shd w:val="clear" w:color="auto" w:fill="auto"/>
        <w:tabs>
          <w:tab w:val="left" w:pos="1944"/>
        </w:tabs>
        <w:ind w:left="1800" w:firstLine="0"/>
        <w:rPr>
          <w:rFonts w:ascii="Times New Roman" w:hAnsi="Times New Roman" w:cs="Times New Roman"/>
          <w:sz w:val="28"/>
          <w:szCs w:val="28"/>
        </w:rPr>
      </w:pPr>
      <w:r w:rsidRPr="00DF1B10">
        <w:rPr>
          <w:rFonts w:ascii="Times New Roman" w:hAnsi="Times New Roman" w:cs="Times New Roman"/>
          <w:sz w:val="28"/>
          <w:szCs w:val="28"/>
        </w:rPr>
        <w:t>desfăşurarea procedurii de atribuire,</w:t>
      </w:r>
    </w:p>
    <w:p w:rsidR="00FA148B" w:rsidRPr="00DF1B10" w:rsidRDefault="00C93B8B">
      <w:pPr>
        <w:pStyle w:val="BodyText2"/>
        <w:numPr>
          <w:ilvl w:val="0"/>
          <w:numId w:val="10"/>
        </w:numPr>
        <w:shd w:val="clear" w:color="auto" w:fill="auto"/>
        <w:tabs>
          <w:tab w:val="left" w:pos="1939"/>
        </w:tabs>
        <w:ind w:left="1800" w:firstLine="0"/>
        <w:rPr>
          <w:rFonts w:ascii="Times New Roman" w:hAnsi="Times New Roman" w:cs="Times New Roman"/>
          <w:sz w:val="28"/>
          <w:szCs w:val="28"/>
        </w:rPr>
      </w:pPr>
      <w:r w:rsidRPr="00DF1B10">
        <w:rPr>
          <w:rFonts w:ascii="Times New Roman" w:hAnsi="Times New Roman" w:cs="Times New Roman"/>
          <w:sz w:val="28"/>
          <w:szCs w:val="28"/>
        </w:rPr>
        <w:t>implementarea contractului.</w:t>
      </w:r>
    </w:p>
    <w:p w:rsidR="00FA148B" w:rsidRPr="00DF1B10" w:rsidRDefault="00C93B8B">
      <w:pPr>
        <w:pStyle w:val="BodyText2"/>
        <w:shd w:val="clear" w:color="auto" w:fill="auto"/>
        <w:ind w:lef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următoarele principii:</w:t>
      </w:r>
    </w:p>
    <w:p w:rsidR="00FA148B" w:rsidRPr="00DF1B10" w:rsidRDefault="00C93B8B">
      <w:pPr>
        <w:pStyle w:val="BodyText2"/>
        <w:numPr>
          <w:ilvl w:val="0"/>
          <w:numId w:val="10"/>
        </w:numPr>
        <w:shd w:val="clear" w:color="auto" w:fill="auto"/>
        <w:tabs>
          <w:tab w:val="left" w:pos="726"/>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Separarea atribuţiilor</w:t>
      </w:r>
    </w:p>
    <w:p w:rsidR="00FA148B" w:rsidRPr="00DF1B10" w:rsidRDefault="00C93B8B">
      <w:pPr>
        <w:pStyle w:val="BodyText2"/>
        <w:numPr>
          <w:ilvl w:val="0"/>
          <w:numId w:val="10"/>
        </w:numPr>
        <w:shd w:val="clear" w:color="auto" w:fill="auto"/>
        <w:tabs>
          <w:tab w:val="left" w:pos="711"/>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„Principiul celor 4 ochi", care implică împărţirea clară a sarcinilor în doi paşi: pe de o parte iniţierea şi pe de altă parte verificarea, efectuate de persoane diferite.</w:t>
      </w:r>
    </w:p>
    <w:p w:rsidR="00FA148B" w:rsidRPr="00DF1B10" w:rsidRDefault="00C93B8B">
      <w:pPr>
        <w:pStyle w:val="BodyText2"/>
        <w:numPr>
          <w:ilvl w:val="0"/>
          <w:numId w:val="10"/>
        </w:numPr>
        <w:shd w:val="clear" w:color="auto" w:fill="auto"/>
        <w:tabs>
          <w:tab w:val="left" w:pos="750"/>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Fundamentarea avizelor interne precum cele acordate de </w:t>
      </w:r>
      <w:r w:rsidR="00DF1B10" w:rsidRPr="00DF1B10">
        <w:rPr>
          <w:rFonts w:ascii="Times New Roman" w:hAnsi="Times New Roman" w:cs="Times New Roman"/>
          <w:sz w:val="28"/>
          <w:szCs w:val="28"/>
        </w:rPr>
        <w:t>compartimentele</w:t>
      </w:r>
      <w:r w:rsidRPr="00DF1B10">
        <w:rPr>
          <w:rFonts w:ascii="Times New Roman" w:hAnsi="Times New Roman" w:cs="Times New Roman"/>
          <w:sz w:val="28"/>
          <w:szCs w:val="28"/>
        </w:rPr>
        <w:t xml:space="preserve"> </w:t>
      </w:r>
      <w:r w:rsidR="00DF1B10" w:rsidRPr="00DF1B10">
        <w:rPr>
          <w:rFonts w:ascii="Times New Roman" w:hAnsi="Times New Roman" w:cs="Times New Roman"/>
          <w:sz w:val="28"/>
          <w:szCs w:val="28"/>
        </w:rPr>
        <w:t>financiar-contabilitate şi juridic</w:t>
      </w:r>
      <w:r w:rsidRPr="00DF1B10">
        <w:rPr>
          <w:rFonts w:ascii="Times New Roman" w:hAnsi="Times New Roman" w:cs="Times New Roman"/>
          <w:sz w:val="28"/>
          <w:szCs w:val="28"/>
        </w:rPr>
        <w:t>.</w:t>
      </w:r>
    </w:p>
    <w:p w:rsidR="00FA148B" w:rsidRPr="00DF1B10" w:rsidRDefault="00C93B8B">
      <w:pPr>
        <w:pStyle w:val="BodyText2"/>
        <w:shd w:val="clear" w:color="auto" w:fill="auto"/>
        <w:spacing w:after="29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de asemenea, un document de politică privind conflictul d</w:t>
      </w:r>
      <w:r w:rsidR="00DF1B10" w:rsidRPr="00DF1B10">
        <w:rPr>
          <w:rFonts w:ascii="Times New Roman" w:hAnsi="Times New Roman" w:cs="Times New Roman"/>
          <w:sz w:val="28"/>
          <w:szCs w:val="28"/>
        </w:rPr>
        <w:t>e interese.</w:t>
      </w:r>
    </w:p>
    <w:p w:rsidR="00FA148B" w:rsidRPr="00DF1B10" w:rsidRDefault="00C93B8B">
      <w:pPr>
        <w:pStyle w:val="BodyText2"/>
        <w:numPr>
          <w:ilvl w:val="0"/>
          <w:numId w:val="6"/>
        </w:numPr>
        <w:shd w:val="clear" w:color="auto" w:fill="auto"/>
        <w:tabs>
          <w:tab w:val="left" w:pos="802"/>
        </w:tabs>
        <w:spacing w:after="304" w:line="250" w:lineRule="exact"/>
        <w:ind w:left="20" w:firstLine="360"/>
        <w:jc w:val="both"/>
        <w:rPr>
          <w:rFonts w:ascii="Times New Roman" w:hAnsi="Times New Roman" w:cs="Times New Roman"/>
          <w:sz w:val="28"/>
          <w:szCs w:val="28"/>
        </w:rPr>
      </w:pPr>
      <w:r w:rsidRPr="00DF1B10">
        <w:rPr>
          <w:rFonts w:ascii="Times New Roman" w:hAnsi="Times New Roman" w:cs="Times New Roman"/>
          <w:sz w:val="28"/>
          <w:szCs w:val="28"/>
        </w:rPr>
        <w:t>Excepţii</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lastRenderedPageBreak/>
        <w:t xml:space="preserve">Prin excepţie de la art. 12 alin. 1 din HG nr.395/2016-publicata în Monitorul oficial nr.423 din 06.06.2016 - pentru aprobarea Normelor metodologice de aplicare a prevederilor referitoare la atribuirea contractului de achiziţie publică/acordului-cadru din Legea nr. 98/2016 privind achiziţiile publice, în cazul în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implementa în cursul anului 2017 proiecte finanţate din fonduri nerambursabile şi/sau proiecte de cercetare-dezvoltare, are obligaţia de a elabora distinct pentru fiecare proiect în parte un program al achiziţiilor publice aferent proiectului respectiv, cu respectarea procedurilor de elaborare cuprinse în legislaţia achiziţiilor publice, a procedurilor prevăzute în prezenta Strategie.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2 alin. 2 din Legea nr. 98/2016 privind achiziţiile publice precum şi ale art. 1 din HG nr.395/2016-publicata în Monitorul oficial nr.423 din 06.06.2016 - pentru aprobarea Normelor metodologice de aplicare a prevederilor referitoare la atribuirea contractului de achiziţie publică/acordului-cadru din Legea nr. 98/2016 privind achiziţiile publice, cu referire la exceptările de la legislaţia achiziţiilor publice a achiziţiilor de produse, servicii şi/sau lucrări care nu se supun regulilor legale,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achiziţia de produse, servicii şi/sau lucrări exceptate, pe baza propriilor proceduri interne de atribuire cu respectarea principiilor care stau la baza atribuirii contractelor de achiziţie publică respectiv nediscriminarea, tratamentul egal, recunoaşterea reciprocă, transparenţa, proporţionalitatea, asumarea răspunderii.</w:t>
      </w:r>
    </w:p>
    <w:p w:rsidR="00FA148B" w:rsidRPr="00DF1B10" w:rsidRDefault="001E5635">
      <w:pPr>
        <w:pStyle w:val="BodyText2"/>
        <w:shd w:val="clear" w:color="auto" w:fill="auto"/>
        <w:spacing w:after="294"/>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va derula toate procedurile de achiziţie numai prin sistemul electronic al achiziţiilor publice SEAP. Utilizarea altor mijloace (offline) se va putea realiza numai în condiţiile legii si numai pentru situaţiile expres reglementate prin lege.</w:t>
      </w:r>
    </w:p>
    <w:p w:rsidR="00FA148B" w:rsidRPr="00DF1B10" w:rsidRDefault="00C93B8B">
      <w:pPr>
        <w:pStyle w:val="BodyText2"/>
        <w:numPr>
          <w:ilvl w:val="0"/>
          <w:numId w:val="6"/>
        </w:numPr>
        <w:shd w:val="clear" w:color="auto" w:fill="auto"/>
        <w:tabs>
          <w:tab w:val="left" w:pos="750"/>
        </w:tabs>
        <w:spacing w:after="295" w:line="250" w:lineRule="exact"/>
        <w:ind w:left="20" w:firstLine="360"/>
        <w:jc w:val="both"/>
        <w:rPr>
          <w:rFonts w:ascii="Times New Roman" w:hAnsi="Times New Roman" w:cs="Times New Roman"/>
          <w:sz w:val="28"/>
          <w:szCs w:val="28"/>
        </w:rPr>
      </w:pPr>
      <w:r w:rsidRPr="00DF1B10">
        <w:rPr>
          <w:rFonts w:ascii="Times New Roman" w:hAnsi="Times New Roman" w:cs="Times New Roman"/>
          <w:sz w:val="28"/>
          <w:szCs w:val="28"/>
        </w:rPr>
        <w:t>Prevederi finale si tranzitorii</w:t>
      </w:r>
    </w:p>
    <w:p w:rsidR="00FA148B" w:rsidRPr="00DF1B10" w:rsidRDefault="001E5635">
      <w:pPr>
        <w:pStyle w:val="BodyText2"/>
        <w:shd w:val="clear" w:color="auto" w:fill="auto"/>
        <w:spacing w:after="240"/>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prin compartimentul intern specializat în domeniul achiziţiilor, are obligaţia de a ţine evidenţa achiziţiilor directe de produse, servicii şi lucrări, precum si a tuturor achiziţiilor de produse, servicii şi lucrări, ca parte a Strategiei anuale de achiziţii publice.</w:t>
      </w:r>
    </w:p>
    <w:p w:rsidR="00FA148B" w:rsidRPr="00DF1B10" w:rsidRDefault="00C93B8B">
      <w:pPr>
        <w:pStyle w:val="BodyText2"/>
        <w:shd w:val="clear" w:color="auto" w:fill="auto"/>
        <w:spacing w:after="125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În derularea procedurilor de achiziţii pe baza procedurilor interne proprii precum si a tuturor procedurilor de achiziţie,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este responsabilă pentru modul de atribuire a contractului de achiziţie publică/acordului-cadru, inclusiv achiziţia directă, cu respectarea tuturor dispoziţiilor legale aplicabile.</w:t>
      </w:r>
    </w:p>
    <w:p w:rsidR="00DF1B10" w:rsidRPr="00DF1B10" w:rsidRDefault="00DF1B10" w:rsidP="00DF1B10">
      <w:pPr>
        <w:widowControl/>
        <w:tabs>
          <w:tab w:val="left" w:pos="0"/>
        </w:tabs>
        <w:jc w:val="center"/>
        <w:rPr>
          <w:rFonts w:ascii="Times New Roman" w:eastAsia="Times New Roman" w:hAnsi="Times New Roman" w:cs="Times New Roman"/>
          <w:b/>
          <w:color w:val="auto"/>
          <w:sz w:val="28"/>
          <w:szCs w:val="28"/>
        </w:rPr>
      </w:pPr>
      <w:r w:rsidRPr="00DF1B10">
        <w:rPr>
          <w:rFonts w:ascii="Times New Roman" w:eastAsia="Times New Roman" w:hAnsi="Times New Roman" w:cs="Times New Roman"/>
          <w:b/>
          <w:color w:val="auto"/>
          <w:sz w:val="28"/>
          <w:szCs w:val="28"/>
        </w:rPr>
        <w:t>Şeful Serviciului de Logistică</w:t>
      </w:r>
    </w:p>
    <w:p w:rsidR="00DF1B10" w:rsidRPr="00DF1B10" w:rsidRDefault="00DF1B10" w:rsidP="00DF1B10">
      <w:pPr>
        <w:widowControl/>
        <w:tabs>
          <w:tab w:val="left" w:pos="0"/>
        </w:tabs>
        <w:jc w:val="center"/>
        <w:rPr>
          <w:rFonts w:ascii="Times New Roman" w:eastAsia="Times New Roman" w:hAnsi="Times New Roman" w:cs="Times New Roman"/>
          <w:b/>
          <w:color w:val="auto"/>
          <w:sz w:val="28"/>
          <w:szCs w:val="28"/>
        </w:rPr>
      </w:pPr>
      <w:r w:rsidRPr="00DF1B10">
        <w:rPr>
          <w:rFonts w:ascii="Times New Roman" w:eastAsia="Times New Roman" w:hAnsi="Times New Roman" w:cs="Times New Roman"/>
          <w:i/>
          <w:color w:val="auto"/>
          <w:sz w:val="28"/>
          <w:szCs w:val="28"/>
        </w:rPr>
        <w:t>Inspector principal de poliţie</w:t>
      </w:r>
    </w:p>
    <w:p w:rsidR="00FA148B" w:rsidRPr="00DF1B10" w:rsidRDefault="00207E55" w:rsidP="00207E55">
      <w:pPr>
        <w:pStyle w:val="BodyText2"/>
        <w:shd w:val="clear" w:color="auto" w:fill="auto"/>
        <w:ind w:right="2292" w:firstLine="0"/>
        <w:jc w:val="center"/>
        <w:rPr>
          <w:rFonts w:ascii="Times New Roman" w:hAnsi="Times New Roman" w:cs="Times New Roman"/>
          <w:sz w:val="28"/>
          <w:szCs w:val="28"/>
        </w:rPr>
      </w:pPr>
      <w:r>
        <w:rPr>
          <w:rFonts w:ascii="Times New Roman" w:eastAsia="Times New Roman" w:hAnsi="Times New Roman" w:cs="Times New Roman"/>
          <w:b/>
          <w:color w:val="auto"/>
          <w:sz w:val="28"/>
          <w:szCs w:val="28"/>
        </w:rPr>
        <w:t xml:space="preserve">                               </w:t>
      </w:r>
      <w:r w:rsidR="00DF1B10" w:rsidRPr="00DF1B10">
        <w:rPr>
          <w:rFonts w:ascii="Times New Roman" w:eastAsia="Times New Roman" w:hAnsi="Times New Roman" w:cs="Times New Roman"/>
          <w:b/>
          <w:color w:val="auto"/>
          <w:sz w:val="28"/>
          <w:szCs w:val="28"/>
        </w:rPr>
        <w:t>BUGEAC KRISZTINA</w:t>
      </w:r>
    </w:p>
    <w:sectPr w:rsidR="00FA148B" w:rsidRPr="00DF1B10">
      <w:footerReference w:type="default" r:id="rId9"/>
      <w:type w:val="continuous"/>
      <w:pgSz w:w="12240" w:h="16838"/>
      <w:pgMar w:top="715" w:right="1280" w:bottom="1243" w:left="12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B8B" w:rsidRDefault="00C93B8B">
      <w:r>
        <w:separator/>
      </w:r>
    </w:p>
  </w:endnote>
  <w:endnote w:type="continuationSeparator" w:id="0">
    <w:p w:rsidR="00C93B8B" w:rsidRDefault="00C9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8B" w:rsidRDefault="00155515">
    <w:pPr>
      <w:rPr>
        <w:sz w:val="2"/>
        <w:szCs w:val="2"/>
      </w:rPr>
    </w:pPr>
    <w:r>
      <w:rPr>
        <w:noProof/>
        <w:lang w:val="en-US"/>
      </w:rPr>
      <mc:AlternateContent>
        <mc:Choice Requires="wps">
          <w:drawing>
            <wp:anchor distT="0" distB="0" distL="63500" distR="63500" simplePos="0" relativeHeight="251657728" behindDoc="1" locked="0" layoutInCell="1" allowOverlap="1" wp14:anchorId="696E4541" wp14:editId="4663ACB9">
              <wp:simplePos x="0" y="0"/>
              <wp:positionH relativeFrom="page">
                <wp:posOffset>6882765</wp:posOffset>
              </wp:positionH>
              <wp:positionV relativeFrom="page">
                <wp:posOffset>10146665</wp:posOffset>
              </wp:positionV>
              <wp:extent cx="80645" cy="193675"/>
              <wp:effectExtent l="0" t="254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48B" w:rsidRDefault="00C93B8B">
                          <w:pPr>
                            <w:pStyle w:val="Headerorfooter0"/>
                            <w:shd w:val="clear" w:color="auto" w:fill="auto"/>
                            <w:spacing w:line="240" w:lineRule="auto"/>
                          </w:pPr>
                          <w:r>
                            <w:fldChar w:fldCharType="begin"/>
                          </w:r>
                          <w:r>
                            <w:instrText xml:space="preserve"> PAGE \* MERGEFORMAT </w:instrText>
                          </w:r>
                          <w:r>
                            <w:fldChar w:fldCharType="separate"/>
                          </w:r>
                          <w:r w:rsidR="0032722B" w:rsidRPr="0032722B">
                            <w:rPr>
                              <w:rStyle w:val="Headerorfooter1"/>
                              <w:noProof/>
                            </w:rPr>
                            <w:t>1</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1.95pt;margin-top:798.95pt;width:6.35pt;height:15.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iiqAIAAKU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" filled="f" stroked="f">
              <v:textbox style="mso-fit-shape-to-text:t" inset="0,0,0,0">
                <w:txbxContent>
                  <w:p w:rsidR="00FA148B" w:rsidRDefault="00C93B8B">
                    <w:pPr>
                      <w:pStyle w:val="Headerorfooter0"/>
                      <w:shd w:val="clear" w:color="auto" w:fill="auto"/>
                      <w:spacing w:line="240" w:lineRule="auto"/>
                    </w:pPr>
                    <w:r>
                      <w:fldChar w:fldCharType="begin"/>
                    </w:r>
                    <w:r>
                      <w:instrText xml:space="preserve"> PAGE \* MERGEFORMAT </w:instrText>
                    </w:r>
                    <w:r>
                      <w:fldChar w:fldCharType="separate"/>
                    </w:r>
                    <w:r w:rsidR="0032722B" w:rsidRPr="0032722B">
                      <w:rPr>
                        <w:rStyle w:val="Headerorfooter1"/>
                        <w:noProof/>
                      </w:rPr>
                      <w:t>1</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B8B" w:rsidRDefault="00C93B8B"/>
  </w:footnote>
  <w:footnote w:type="continuationSeparator" w:id="0">
    <w:p w:rsidR="00C93B8B" w:rsidRDefault="00C93B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7C7"/>
    <w:multiLevelType w:val="multilevel"/>
    <w:tmpl w:val="E42609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9452B"/>
    <w:multiLevelType w:val="multilevel"/>
    <w:tmpl w:val="98C09B1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71603"/>
    <w:multiLevelType w:val="multilevel"/>
    <w:tmpl w:val="2DCAE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13DD0"/>
    <w:multiLevelType w:val="multilevel"/>
    <w:tmpl w:val="4CD630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E531F5"/>
    <w:multiLevelType w:val="multilevel"/>
    <w:tmpl w:val="8752BF0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833B38"/>
    <w:multiLevelType w:val="multilevel"/>
    <w:tmpl w:val="1EB8F5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D14DB0"/>
    <w:multiLevelType w:val="multilevel"/>
    <w:tmpl w:val="5F221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F405A4"/>
    <w:multiLevelType w:val="multilevel"/>
    <w:tmpl w:val="377A96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2A70D7"/>
    <w:multiLevelType w:val="multilevel"/>
    <w:tmpl w:val="7542E9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373951"/>
    <w:multiLevelType w:val="multilevel"/>
    <w:tmpl w:val="2EAE3F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9"/>
  </w:num>
  <w:num w:numId="5">
    <w:abstractNumId w:val="3"/>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8B"/>
    <w:rsid w:val="00155515"/>
    <w:rsid w:val="001E5635"/>
    <w:rsid w:val="00207E55"/>
    <w:rsid w:val="0032722B"/>
    <w:rsid w:val="00C93B8B"/>
    <w:rsid w:val="00DF1B10"/>
    <w:rsid w:val="00FA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bugeac krisztina HR</dc:creator>
  <cp:lastModifiedBy>bugeac krisztina HR</cp:lastModifiedBy>
  <cp:revision>2</cp:revision>
  <dcterms:created xsi:type="dcterms:W3CDTF">2017-02-10T07:41:00Z</dcterms:created>
  <dcterms:modified xsi:type="dcterms:W3CDTF">2017-02-10T07:41:00Z</dcterms:modified>
</cp:coreProperties>
</file>